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0D" w:rsidRDefault="007D030D" w:rsidP="007D0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14" w:rsidRDefault="00297314" w:rsidP="007D0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0D" w:rsidRDefault="007D030D" w:rsidP="007D0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inherit" w:eastAsia="Times New Roman" w:hAnsi="inherit" w:cs="Helvetica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23870" cy="2015913"/>
            <wp:effectExtent l="19050" t="0" r="5080" b="0"/>
            <wp:docPr id="1" name="Рисунок 1" descr="C:\Documents and Settings\m.alkaz\Рабочий стол\Для брошюры\6c20f6afa2a272535c925f4ba208b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alkaz\Рабочий стол\Для брошюры\6c20f6afa2a272535c925f4ba208b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97314" w:rsidRPr="00297314" w:rsidRDefault="00297314" w:rsidP="00297314">
      <w:pPr>
        <w:spacing w:after="0" w:line="240" w:lineRule="auto"/>
        <w:jc w:val="center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297314">
        <w:rPr>
          <w:rFonts w:ascii="Times New Roman" w:hAnsi="Times New Roman" w:cs="Times New Roman"/>
          <w:i/>
          <w:color w:val="FF6600"/>
          <w:sz w:val="24"/>
          <w:szCs w:val="24"/>
        </w:rPr>
        <w:t>Мы надеемся,</w:t>
      </w:r>
    </w:p>
    <w:p w:rsidR="00297314" w:rsidRDefault="00297314" w:rsidP="00297314">
      <w:pPr>
        <w:spacing w:after="0" w:line="240" w:lineRule="auto"/>
        <w:jc w:val="center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297314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 что данная брошюра </w:t>
      </w:r>
    </w:p>
    <w:p w:rsidR="00297314" w:rsidRPr="00297314" w:rsidRDefault="00297314" w:rsidP="00297314">
      <w:pPr>
        <w:spacing w:after="0" w:line="240" w:lineRule="auto"/>
        <w:jc w:val="center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297314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поможет вам сориентироваться </w:t>
      </w:r>
    </w:p>
    <w:p w:rsidR="00297314" w:rsidRPr="00297314" w:rsidRDefault="00297314" w:rsidP="00297314">
      <w:pPr>
        <w:spacing w:after="0" w:line="240" w:lineRule="auto"/>
        <w:jc w:val="center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297314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при выборе продуктов питания, </w:t>
      </w:r>
    </w:p>
    <w:p w:rsidR="00297314" w:rsidRDefault="00297314" w:rsidP="00297314">
      <w:pPr>
        <w:spacing w:after="0" w:line="240" w:lineRule="auto"/>
        <w:jc w:val="center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297314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а приведенные в ней рекомендации </w:t>
      </w:r>
    </w:p>
    <w:p w:rsidR="007D030D" w:rsidRDefault="00297314" w:rsidP="00297314">
      <w:pPr>
        <w:spacing w:after="0" w:line="240" w:lineRule="auto"/>
        <w:jc w:val="center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297314">
        <w:rPr>
          <w:rFonts w:ascii="Times New Roman" w:hAnsi="Times New Roman" w:cs="Times New Roman"/>
          <w:i/>
          <w:color w:val="FF6600"/>
          <w:sz w:val="24"/>
          <w:szCs w:val="24"/>
        </w:rPr>
        <w:t>станут залогом крепкого здоровья</w:t>
      </w:r>
    </w:p>
    <w:p w:rsidR="00297314" w:rsidRPr="00297314" w:rsidRDefault="00297314" w:rsidP="00297314">
      <w:pPr>
        <w:spacing w:after="0" w:line="240" w:lineRule="auto"/>
        <w:jc w:val="center"/>
        <w:rPr>
          <w:rFonts w:ascii="inherit" w:eastAsia="Times New Roman" w:hAnsi="inherit" w:cs="Helvetica"/>
          <w:i/>
          <w:color w:val="FF66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color w:val="FF6600"/>
          <w:sz w:val="24"/>
          <w:szCs w:val="24"/>
        </w:rPr>
        <w:t>и хорошего самочувствия.</w:t>
      </w: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1649E7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23870" cy="2270672"/>
            <wp:effectExtent l="19050" t="0" r="5080" b="0"/>
            <wp:docPr id="4" name="Рисунок 4" descr="C:\Documents and Settings\m.alkaz\Рабочий стол\Для брошюры\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.alkaz\Рабочий стол\Для брошюры\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1649E7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23870" cy="2270672"/>
            <wp:effectExtent l="19050" t="0" r="5080" b="0"/>
            <wp:docPr id="5" name="Рисунок 3" descr="C:\Documents and Settings\m.alkaz\Рабочий стол\Для брошюры\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.alkaz\Рабочий стол\Для брошюры\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0D" w:rsidRDefault="007D030D" w:rsidP="007D030D">
      <w:pPr>
        <w:spacing w:after="0" w:line="240" w:lineRule="auto"/>
        <w:jc w:val="both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40A6" w:rsidRDefault="002640A6" w:rsidP="00E555E9">
      <w:pPr>
        <w:spacing w:after="0" w:line="240" w:lineRule="auto"/>
        <w:jc w:val="center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</w:p>
    <w:p w:rsidR="007D030D" w:rsidRPr="002640A6" w:rsidRDefault="001649E7" w:rsidP="00E5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eastAsia="ru-RU"/>
        </w:rPr>
      </w:pPr>
      <w:r w:rsidRPr="002640A6"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eastAsia="ru-RU"/>
        </w:rPr>
        <w:t xml:space="preserve">ФБУЗ </w:t>
      </w:r>
      <w:r w:rsidR="00E555E9" w:rsidRPr="002640A6"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eastAsia="ru-RU"/>
        </w:rPr>
        <w:t>«Центр гигиены и эпидемиологии в городе Санкт-Петербург»</w:t>
      </w:r>
    </w:p>
    <w:p w:rsidR="00E555E9" w:rsidRPr="002640A6" w:rsidRDefault="00E555E9" w:rsidP="00E5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eastAsia="ru-RU"/>
        </w:rPr>
      </w:pPr>
      <w:r w:rsidRPr="002640A6"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eastAsia="ru-RU"/>
        </w:rPr>
        <w:t>Ул. Малая Садовая, д. 1</w:t>
      </w:r>
    </w:p>
    <w:p w:rsidR="00E555E9" w:rsidRPr="002640A6" w:rsidRDefault="00E555E9" w:rsidP="00E5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2640A6"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eastAsia="ru-RU"/>
        </w:rPr>
        <w:t>Волковский</w:t>
      </w:r>
      <w:proofErr w:type="spellEnd"/>
      <w:r w:rsidRPr="002640A6"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eastAsia="ru-RU"/>
        </w:rPr>
        <w:t xml:space="preserve"> пр., д. 77</w:t>
      </w:r>
    </w:p>
    <w:p w:rsidR="00E555E9" w:rsidRPr="00E555E9" w:rsidRDefault="00E555E9" w:rsidP="00E555E9">
      <w:pPr>
        <w:spacing w:after="0" w:line="240" w:lineRule="auto"/>
        <w:jc w:val="center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2640A6">
        <w:rPr>
          <w:rFonts w:ascii="Times New Roman" w:eastAsia="Times New Roman" w:hAnsi="Times New Roman" w:cs="Times New Roman"/>
          <w:b/>
          <w:color w:val="4F6228" w:themeColor="accent3" w:themeShade="80"/>
          <w:sz w:val="20"/>
          <w:szCs w:val="20"/>
          <w:bdr w:val="none" w:sz="0" w:space="0" w:color="auto" w:frame="1"/>
          <w:lang w:val="en-US" w:eastAsia="ru-RU"/>
        </w:rPr>
        <w:t>http://78centr.ru</w:t>
      </w: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A2201" w:rsidRDefault="00DA2201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7D03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40A6">
        <w:rPr>
          <w:rFonts w:ascii="Times New Roman" w:hAnsi="Times New Roman" w:cs="Times New Roman"/>
          <w:b/>
          <w:color w:val="C00000"/>
          <w:sz w:val="28"/>
          <w:szCs w:val="28"/>
        </w:rPr>
        <w:t>ВОЗ</w:t>
      </w:r>
    </w:p>
    <w:p w:rsidR="00DA2201" w:rsidRPr="00DA2201" w:rsidRDefault="00DA2201" w:rsidP="007D03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Всемирный день прав потребителей под девизом</w:t>
      </w:r>
    </w:p>
    <w:p w:rsidR="007D030D" w:rsidRPr="002640A6" w:rsidRDefault="007D030D" w:rsidP="007D03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gramStart"/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«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</w:rPr>
        <w:t>Исключить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</w:rPr>
        <w:t>антибиотики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</w:rPr>
        <w:t>из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</w:rPr>
        <w:t>меню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» («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Campaign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to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get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antibiotics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off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the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menu</w:t>
      </w:r>
      <w:r w:rsidRPr="00DA22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»</w:t>
      </w:r>
      <w:r w:rsidRPr="002640A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).</w:t>
      </w:r>
      <w:proofErr w:type="gramEnd"/>
    </w:p>
    <w:p w:rsidR="007D030D" w:rsidRPr="002640A6" w:rsidRDefault="007D030D" w:rsidP="007D03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40A6">
        <w:rPr>
          <w:rFonts w:ascii="Times New Roman" w:hAnsi="Times New Roman" w:cs="Times New Roman"/>
          <w:b/>
          <w:color w:val="C00000"/>
          <w:sz w:val="28"/>
          <w:szCs w:val="28"/>
        </w:rPr>
        <w:t>15 марта 2016 года</w:t>
      </w:r>
    </w:p>
    <w:p w:rsidR="00DA2201" w:rsidRDefault="007D030D" w:rsidP="007D03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40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Управление Роспотребнадзора </w:t>
      </w:r>
    </w:p>
    <w:p w:rsidR="007D030D" w:rsidRPr="002640A6" w:rsidRDefault="007D030D" w:rsidP="007D03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40A6">
        <w:rPr>
          <w:rFonts w:ascii="Times New Roman" w:hAnsi="Times New Roman" w:cs="Times New Roman"/>
          <w:b/>
          <w:color w:val="C00000"/>
          <w:sz w:val="28"/>
          <w:szCs w:val="28"/>
        </w:rPr>
        <w:t>по городу Санкт-Петербургу</w:t>
      </w: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E555E9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23870" cy="1739607"/>
            <wp:effectExtent l="19050" t="0" r="5080" b="0"/>
            <wp:docPr id="6" name="Рисунок 5" descr="C:\Documents and Settings\m.alkaz\Рабочий стол\Для брошюры\1360094984_tab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.alkaz\Рабочий стол\Для брошюры\1360094984_table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3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D030D" w:rsidRDefault="007D030D" w:rsidP="00B8454C">
      <w:pPr>
        <w:spacing w:after="0" w:line="255" w:lineRule="atLeast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555E9" w:rsidRPr="00602E61" w:rsidRDefault="00E555E9" w:rsidP="00E555E9">
      <w:pPr>
        <w:shd w:val="clear" w:color="auto" w:fill="FFFFFF"/>
        <w:tabs>
          <w:tab w:val="left" w:pos="9355"/>
        </w:tabs>
        <w:spacing w:after="0" w:line="270" w:lineRule="atLeast"/>
        <w:ind w:right="-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Рекомендации для потребителей</w:t>
      </w:r>
      <w:r w:rsidRPr="00EE2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EE2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приобретайте продукты в специализированных магазинах и внимательно подходите к выбору мяса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внимательно читайте этикетки на упаковках мясных продуктов промышленного производства; при покупке мяса на рынке, запрашивайте у продавца </w:t>
      </w:r>
      <w:r w:rsidRPr="0028090C">
        <w:rPr>
          <w:rFonts w:ascii="Times New Roman" w:hAnsi="Times New Roman" w:cs="Times New Roman"/>
          <w:color w:val="000000" w:themeColor="text1"/>
          <w:sz w:val="24"/>
          <w:szCs w:val="24"/>
        </w:rPr>
        <w:t>сопроводительны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28090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09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 храни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пищевые продукты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подвергайте мясо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термическ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е;</w:t>
      </w:r>
      <w:r w:rsidRPr="002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>избега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йте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контактов с инфекционными больными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соблюда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йте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вакцинации и рекомендаци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ВОЗ.</w:t>
      </w:r>
      <w:proofErr w:type="gramEnd"/>
    </w:p>
    <w:p w:rsidR="00E555E9" w:rsidRPr="00E555E9" w:rsidRDefault="00E555E9" w:rsidP="002640A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5E9" w:rsidRDefault="002640A6" w:rsidP="002640A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76819" cy="1460311"/>
            <wp:effectExtent l="19050" t="0" r="0" b="0"/>
            <wp:docPr id="8" name="Рисунок 7" descr="C:\Documents and Settings\m.alkaz\Рабочий стол\Для брошюры\1279705230_ris2_9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.alkaz\Рабочий стол\Для брошюры\1279705230_ris2_9s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70" cy="146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01" w:rsidRPr="00DA2201" w:rsidRDefault="00DA2201" w:rsidP="002640A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5E9" w:rsidRPr="00E555E9" w:rsidRDefault="002640A6" w:rsidP="002640A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04128" cy="2317532"/>
            <wp:effectExtent l="19050" t="0" r="0" b="0"/>
            <wp:docPr id="9" name="Рисунок 6" descr="C:\Documents and Settings\m.alkaz\Рабочий стол\Для брошюры\1302641183_dec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.alkaz\Рабочий стол\Для брошюры\1302641183_decla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21" cy="233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E9" w:rsidRPr="00E555E9" w:rsidRDefault="00E555E9" w:rsidP="002640A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5E9" w:rsidRPr="00E555E9" w:rsidRDefault="002640A6" w:rsidP="002640A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24836" cy="2429851"/>
            <wp:effectExtent l="19050" t="0" r="8814" b="0"/>
            <wp:docPr id="10" name="Рисунок 8" descr="C:\Documents and Settings\m.alkaz\Рабочий стол\Для брошюры\7949581caf25078d7f08cc6e5ebe9c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.alkaz\Рабочий стол\Для брошюры\7949581caf25078d7f08cc6e5ebe9c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32" cy="243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E9" w:rsidRPr="00E555E9" w:rsidRDefault="00E555E9" w:rsidP="002640A6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5E9" w:rsidRPr="00E555E9" w:rsidRDefault="00E555E9" w:rsidP="00E555E9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5E9" w:rsidRDefault="00E555E9" w:rsidP="00E555E9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2640A6" w:rsidRPr="002640A6" w:rsidRDefault="002640A6" w:rsidP="00E555E9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E555E9" w:rsidRPr="00E555E9" w:rsidRDefault="00E555E9" w:rsidP="00E555E9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E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Роспотребнадзором</w:t>
      </w:r>
      <w:proofErr w:type="spellEnd"/>
      <w:r w:rsidRPr="00AE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систематический мониторинг за заболеваемостью инфекционными заболеваниями, в том числе вызванными лекарственно устойчивыми возбудителями, в частности инфекциями, связанными с оказанием медицинской помощи, за циркуляцией микроорганизмов, устойчивых к </w:t>
      </w:r>
      <w:proofErr w:type="spellStart"/>
      <w:r w:rsidRPr="00AE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антимикробным</w:t>
      </w:r>
      <w:proofErr w:type="spellEnd"/>
      <w:r w:rsidRPr="00AE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лекарственным средствам и </w:t>
      </w:r>
      <w:proofErr w:type="spellStart"/>
      <w:r w:rsidRPr="00AE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дезинфектантам</w:t>
      </w:r>
      <w:proofErr w:type="spellEnd"/>
      <w:r w:rsidRPr="00AE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изучаются механизмы формирования такой устойчивости и разрабатываются новые средства, формы и методы борьбы. В ходе федерального государственного санитарно-эпидемиологического надзора за качеством и безопасностью пищевых продуктов осуществляется контроль содержания антибиотиков.</w:t>
      </w:r>
    </w:p>
    <w:p w:rsidR="00E555E9" w:rsidRPr="00AE5A73" w:rsidRDefault="00E555E9" w:rsidP="00E555E9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 разработала глобальный план действий для борьбы с устойчивостью к противомикробным препаратам, представленный на 68-й сессии Всемирной Ассамблеи здравоохранения в мае 2015 года, и призывает все заинтересованные стороны к борьбе с лекарственной устойчивостью.</w:t>
      </w:r>
    </w:p>
    <w:p w:rsidR="00520FE5" w:rsidRDefault="00520FE5" w:rsidP="00602E61">
      <w:pPr>
        <w:spacing w:after="0"/>
        <w:ind w:left="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640A6" w:rsidRDefault="002640A6" w:rsidP="002640A6">
      <w:pPr>
        <w:spacing w:after="0"/>
        <w:ind w:left="142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640A6" w:rsidRDefault="002640A6" w:rsidP="002640A6">
      <w:pPr>
        <w:spacing w:after="0"/>
        <w:ind w:left="142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640A6" w:rsidRPr="002640A6" w:rsidRDefault="002640A6" w:rsidP="00DA2201">
      <w:pPr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99150" cy="2101755"/>
            <wp:effectExtent l="19050" t="0" r="1200" b="0"/>
            <wp:docPr id="11" name="Рисунок 9" descr="C:\Documents and Settings\m.alkaz\Рабочий стол\Для брошюры\v_ssha_bushuet_epidemiya_ptichego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.alkaz\Рабочий стол\Для брошюры\v_ssha_bushuet_epidemiya_ptichego_grip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76" cy="210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A6" w:rsidRPr="002640A6" w:rsidSect="00A2145F">
      <w:pgSz w:w="16838" w:h="11906" w:orient="landscape"/>
      <w:pgMar w:top="851" w:right="567" w:bottom="851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0A6"/>
    <w:multiLevelType w:val="multilevel"/>
    <w:tmpl w:val="19E4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96EA8"/>
    <w:multiLevelType w:val="multilevel"/>
    <w:tmpl w:val="281C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A76A6"/>
    <w:multiLevelType w:val="multilevel"/>
    <w:tmpl w:val="2DE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77E90"/>
    <w:multiLevelType w:val="hybridMultilevel"/>
    <w:tmpl w:val="740E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92D32"/>
    <w:multiLevelType w:val="multilevel"/>
    <w:tmpl w:val="3C12E8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B8B"/>
    <w:rsid w:val="00006E39"/>
    <w:rsid w:val="001649E7"/>
    <w:rsid w:val="002357C6"/>
    <w:rsid w:val="00237003"/>
    <w:rsid w:val="002640A6"/>
    <w:rsid w:val="0028090C"/>
    <w:rsid w:val="00297314"/>
    <w:rsid w:val="0035710C"/>
    <w:rsid w:val="004D07AC"/>
    <w:rsid w:val="004E5904"/>
    <w:rsid w:val="00520FE5"/>
    <w:rsid w:val="00523120"/>
    <w:rsid w:val="00591310"/>
    <w:rsid w:val="00602E61"/>
    <w:rsid w:val="006B411A"/>
    <w:rsid w:val="007337E2"/>
    <w:rsid w:val="00741772"/>
    <w:rsid w:val="00763B8B"/>
    <w:rsid w:val="007D030D"/>
    <w:rsid w:val="007E0536"/>
    <w:rsid w:val="008D77FB"/>
    <w:rsid w:val="009855A5"/>
    <w:rsid w:val="009B2918"/>
    <w:rsid w:val="009F6301"/>
    <w:rsid w:val="00A2145F"/>
    <w:rsid w:val="00AE3937"/>
    <w:rsid w:val="00AE5A73"/>
    <w:rsid w:val="00B13172"/>
    <w:rsid w:val="00B57B16"/>
    <w:rsid w:val="00B8454C"/>
    <w:rsid w:val="00BD33D7"/>
    <w:rsid w:val="00BD4E1C"/>
    <w:rsid w:val="00C00B1A"/>
    <w:rsid w:val="00DA2201"/>
    <w:rsid w:val="00E467F3"/>
    <w:rsid w:val="00E50406"/>
    <w:rsid w:val="00E555E9"/>
    <w:rsid w:val="00E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m.alkaz</dc:creator>
  <cp:keywords/>
  <dc:description/>
  <cp:lastModifiedBy>m.alkaz</cp:lastModifiedBy>
  <cp:revision>14</cp:revision>
  <cp:lastPrinted>2016-03-11T13:01:00Z</cp:lastPrinted>
  <dcterms:created xsi:type="dcterms:W3CDTF">2016-03-01T09:20:00Z</dcterms:created>
  <dcterms:modified xsi:type="dcterms:W3CDTF">2016-03-11T13:19:00Z</dcterms:modified>
</cp:coreProperties>
</file>