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>
      <v:fill r:id="rId3" o:title="90%" color2="#577c2f" type="pattern"/>
    </v:background>
  </w:background>
  <w:body>
    <w:p w:rsidR="00FF421C" w:rsidRDefault="00D57B8F" w:rsidP="001C4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B8F">
        <w:rPr>
          <w:rFonts w:ascii="Times New Roman" w:hAnsi="Times New Roman" w:cs="Times New Roman"/>
          <w:sz w:val="24"/>
          <w:szCs w:val="24"/>
        </w:rPr>
        <w:t>Среднестатистический человек совершает 1140 телефонных звонков в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336" w:rsidRDefault="00D57B8F" w:rsidP="001C4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мы не всегда довольны пред</w:t>
      </w:r>
      <w:r w:rsidR="00A54336">
        <w:rPr>
          <w:rFonts w:ascii="Times New Roman" w:hAnsi="Times New Roman" w:cs="Times New Roman"/>
          <w:sz w:val="24"/>
          <w:szCs w:val="24"/>
        </w:rPr>
        <w:t>оставляемыми нам услугами связи. Об основаниях приостановления услуг связи, изменения и расторжения договора расскажет наша памятка</w:t>
      </w:r>
    </w:p>
    <w:p w:rsidR="00A54336" w:rsidRDefault="00A54336" w:rsidP="001C4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9810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ki_s_kom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68" cy="98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25" w:rsidRDefault="001E5525" w:rsidP="001C4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525">
        <w:rPr>
          <w:rFonts w:ascii="Times New Roman" w:hAnsi="Times New Roman" w:cs="Times New Roman"/>
          <w:sz w:val="24"/>
          <w:szCs w:val="24"/>
        </w:rPr>
        <w:t>Оператор связи вправе приостановить оказание абоненту только тех услуг телефонной связи, в отношении которых этим абонентом допущены нарушения требований, установленных Федеральным законом "О связи"</w:t>
      </w:r>
      <w:r>
        <w:rPr>
          <w:rFonts w:ascii="Times New Roman" w:hAnsi="Times New Roman" w:cs="Times New Roman"/>
          <w:sz w:val="24"/>
          <w:szCs w:val="24"/>
        </w:rPr>
        <w:t>. При этом возможность круглосуточного вызова экстренных служб может быть приостановлена, только если технологические особенности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язи не позволяют сохранить для абонента такую возможность. </w:t>
      </w:r>
    </w:p>
    <w:p w:rsidR="001E5525" w:rsidRPr="001E5525" w:rsidRDefault="001E5525" w:rsidP="001E55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525">
        <w:rPr>
          <w:rFonts w:ascii="Times New Roman" w:hAnsi="Times New Roman" w:cs="Times New Roman"/>
          <w:sz w:val="24"/>
          <w:szCs w:val="24"/>
        </w:rPr>
        <w:t>По инициативе абонента оператор связи обязан без расторжения договора приостановить оказание услуг телефонной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21C" w:rsidRDefault="001E5525" w:rsidP="001E55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525">
        <w:rPr>
          <w:rFonts w:ascii="Times New Roman" w:hAnsi="Times New Roman" w:cs="Times New Roman"/>
          <w:sz w:val="24"/>
          <w:szCs w:val="24"/>
        </w:rPr>
        <w:t xml:space="preserve"> При этом оператором связи в соответствии с установленным для таких </w:t>
      </w:r>
      <w:r w:rsidRPr="001E5525">
        <w:rPr>
          <w:rFonts w:ascii="Times New Roman" w:hAnsi="Times New Roman" w:cs="Times New Roman"/>
          <w:sz w:val="24"/>
          <w:szCs w:val="24"/>
        </w:rPr>
        <w:lastRenderedPageBreak/>
        <w:t>случаев тарифом взимается плата с абонента за весь период времени, указанный в заявлении.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25" w:rsidRDefault="008C7682" w:rsidP="001E552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вправе заменить абоненту телефонный номер, только в случае если использование текущего номера невозможно!</w:t>
      </w:r>
      <w:r w:rsidRPr="008C7682">
        <w:t xml:space="preserve"> </w:t>
      </w:r>
      <w:r w:rsidRPr="008C7682">
        <w:rPr>
          <w:rFonts w:ascii="Times New Roman" w:hAnsi="Times New Roman" w:cs="Times New Roman"/>
          <w:sz w:val="24"/>
          <w:szCs w:val="24"/>
        </w:rPr>
        <w:t>При этом оператор связи обязан в письменной форме известить об этом абонента и сообщить ему его новый абонентский номер не менее чем за 60 дней до дня замены, если необходимость замены не была вызвана непредвиденными или чрезвычайными обстоятельствами.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682" w:rsidRPr="00F76A6B" w:rsidRDefault="008C7682" w:rsidP="008C76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682">
        <w:rPr>
          <w:rFonts w:ascii="Times New Roman" w:hAnsi="Times New Roman" w:cs="Times New Roman"/>
          <w:sz w:val="24"/>
          <w:szCs w:val="24"/>
        </w:rPr>
        <w:t>В случае массовой замены абонентских номеров оповещение абонентов производится через сайт оператора связи в информационно-телекоммуникационной сети "Интернет" и (или) с использованием справочно-информационной службы оператора связи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B8F" w:rsidRDefault="008C7682" w:rsidP="00D57B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924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9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336" w:rsidRDefault="008C7682" w:rsidP="00A543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Изменение договора, заключенного в письменной форме, оформляется путем </w:t>
      </w:r>
      <w:r w:rsidRPr="008C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дополнительного соглашения в письменной форме либо путем совершения абонентом конклюдентных действий,</w:t>
      </w: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 порядок осуществления которых </w:t>
      </w:r>
      <w:r w:rsidRPr="008C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определяются договором</w:t>
      </w: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682" w:rsidRPr="00D57B8F" w:rsidRDefault="008C7682" w:rsidP="008C76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</w:t>
      </w: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 любое время в одностороннем порядке расторгнуть договор при условии оплаты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казанных услуг телефонной связи! </w:t>
      </w:r>
    </w:p>
    <w:p w:rsidR="00D57B8F" w:rsidRDefault="008C7682" w:rsidP="008C7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Важным моментом, является положение законодательства о том, что </w:t>
      </w:r>
      <w:r w:rsidRPr="008C7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оператор связи не вправе</w:t>
      </w: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приостанавливать оказание абоненту услуг телефонной связи в случае неоплаты абонентом услуг, оказанных с использованием услуг телефонной связи, но </w:t>
      </w:r>
      <w:r w:rsidRPr="008C7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являю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щихся услугами телефонной связи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C768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 услуги по пользованию интернетом)</w:t>
      </w:r>
      <w:bookmarkStart w:id="0" w:name="_GoBack"/>
      <w:bookmarkEnd w:id="0"/>
    </w:p>
    <w:p w:rsidR="00A54336" w:rsidRPr="008C7682" w:rsidRDefault="00A54336" w:rsidP="008C768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1737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6A" w:rsidRPr="001E0E4F" w:rsidRDefault="000C446A" w:rsidP="000C44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0C446A" w:rsidRPr="001E0E4F" w:rsidRDefault="000C446A" w:rsidP="000C446A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</w:t>
      </w:r>
      <w:r w:rsidRPr="000C446A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Закон РФ от 07.02.1992 №2300-1 «О защите прав потребителей»</w:t>
      </w:r>
    </w:p>
    <w:p w:rsidR="000C446A" w:rsidRPr="000C446A" w:rsidRDefault="008521CA" w:rsidP="000C446A">
      <w:pPr>
        <w:jc w:val="both"/>
        <w:rPr>
          <w:b/>
          <w:sz w:val="18"/>
          <w:szCs w:val="18"/>
        </w:rPr>
      </w:pPr>
      <w:r w:rsidRPr="008521CA">
        <w:rPr>
          <w:b/>
          <w:sz w:val="18"/>
          <w:szCs w:val="18"/>
        </w:rPr>
        <w:t>-Постановление Правительства РФ от 09.12.2014 N 1342 (ред. от 03.02.2016) "О порядке оказания услуг телефонной связи" (вместе с "Правилами оказания услуг телефонной связи")</w:t>
      </w:r>
    </w:p>
    <w:p w:rsidR="000C446A" w:rsidRDefault="000C446A"/>
    <w:p w:rsidR="000C446A" w:rsidRDefault="000C446A"/>
    <w:p w:rsidR="000C446A" w:rsidRDefault="000C446A"/>
    <w:p w:rsidR="000C446A" w:rsidRDefault="000C446A"/>
    <w:p w:rsidR="000C446A" w:rsidRDefault="000C446A"/>
    <w:p w:rsidR="00A54336" w:rsidRDefault="00A54336"/>
    <w:p w:rsidR="00A54336" w:rsidRDefault="00A54336"/>
    <w:p w:rsidR="00A54336" w:rsidRDefault="00A54336"/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Pr="009C71F8">
        <w:t xml:space="preserve">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0C446A" w:rsidRPr="001E0E4F" w:rsidRDefault="000C446A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A54336" w:rsidRDefault="000C446A" w:rsidP="00A54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A54336" w:rsidRDefault="00A54336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54336" w:rsidRPr="000C446A" w:rsidRDefault="00A54336" w:rsidP="000C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446A" w:rsidRPr="000C446A" w:rsidRDefault="000C446A" w:rsidP="000C4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46A">
        <w:rPr>
          <w:rFonts w:ascii="Times New Roman" w:hAnsi="Times New Roman" w:cs="Times New Roman"/>
          <w:sz w:val="28"/>
          <w:szCs w:val="28"/>
        </w:rPr>
        <w:t>ПАМЯТКА ПОТРЕБИТЕЛЮ</w:t>
      </w:r>
    </w:p>
    <w:p w:rsidR="000C446A" w:rsidRDefault="000C44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6EA3" wp14:editId="70354717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07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46A" w:rsidRPr="008521CA" w:rsidRDefault="008521CA" w:rsidP="000C4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21C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оказание услуг телефоной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" filled="f" stroked="f">
                <v:textbox style="mso-fit-shape-to-text:t">
                  <w:txbxContent>
                    <w:p w:rsidR="000C446A" w:rsidRPr="008521CA" w:rsidRDefault="008521CA" w:rsidP="000C44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21CA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оказание услуг телефоной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0C446A" w:rsidRDefault="000C446A"/>
    <w:p w:rsidR="000C446A" w:rsidRDefault="00FF42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B960B" wp14:editId="4A27FE0F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21C" w:rsidRPr="00FF421C" w:rsidRDefault="00FF421C" w:rsidP="00FF421C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421C">
                              <w:rPr>
                                <w:rFonts w:ascii="Batang" w:eastAsia="Batang" w:hAnsi="Batang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Приостановление, изменение и прекращение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margin-left:3pt;margin-top:9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J+MwIAAFw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" filled="f" stroked="f">
                <v:fill o:detectmouseclick="t"/>
                <v:textbox style="mso-fit-shape-to-text:t">
                  <w:txbxContent>
                    <w:p w:rsidR="00FF421C" w:rsidRPr="00FF421C" w:rsidRDefault="00FF421C" w:rsidP="00FF421C">
                      <w:pPr>
                        <w:jc w:val="center"/>
                        <w:rPr>
                          <w:rFonts w:ascii="Batang" w:eastAsia="Batang" w:hAnsi="Batang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421C">
                        <w:rPr>
                          <w:rFonts w:ascii="Batang" w:eastAsia="Batang" w:hAnsi="Batang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Приостановление, изменение и прекращение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0C446A" w:rsidRDefault="000C446A"/>
    <w:p w:rsidR="000C446A" w:rsidRDefault="000C446A"/>
    <w:p w:rsidR="000C446A" w:rsidRDefault="000C446A"/>
    <w:p w:rsidR="008521CA" w:rsidRDefault="008521CA"/>
    <w:p w:rsidR="000C446A" w:rsidRDefault="00FF421C">
      <w:r>
        <w:rPr>
          <w:noProof/>
          <w:lang w:eastAsia="ru-RU"/>
        </w:rPr>
        <w:drawing>
          <wp:inline distT="0" distB="0" distL="0" distR="0" wp14:anchorId="6CBE8FEE" wp14:editId="65A48A41">
            <wp:extent cx="2781300" cy="2057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-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0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46A" w:rsidSect="008521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4F6228" w:themeColor="accent3" w:themeShade="80" w:shadow="1"/>
        <w:left w:val="threeDEmboss" w:sz="24" w:space="24" w:color="4F6228" w:themeColor="accent3" w:themeShade="80" w:shadow="1"/>
        <w:bottom w:val="threeDEngrave" w:sz="24" w:space="24" w:color="4F6228" w:themeColor="accent3" w:themeShade="80" w:shadow="1"/>
        <w:right w:val="threeDEngrave" w:sz="24" w:space="24" w:color="4F6228" w:themeColor="accent3" w:themeShade="80" w:shadow="1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D2" w:rsidRDefault="00F11FD2" w:rsidP="00D57B8F">
      <w:pPr>
        <w:spacing w:after="0" w:line="240" w:lineRule="auto"/>
      </w:pPr>
      <w:r>
        <w:separator/>
      </w:r>
    </w:p>
  </w:endnote>
  <w:endnote w:type="continuationSeparator" w:id="0">
    <w:p w:rsidR="00F11FD2" w:rsidRDefault="00F11FD2" w:rsidP="00D5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D2" w:rsidRDefault="00F11FD2" w:rsidP="00D57B8F">
      <w:pPr>
        <w:spacing w:after="0" w:line="240" w:lineRule="auto"/>
      </w:pPr>
      <w:r>
        <w:separator/>
      </w:r>
    </w:p>
  </w:footnote>
  <w:footnote w:type="continuationSeparator" w:id="0">
    <w:p w:rsidR="00F11FD2" w:rsidRDefault="00F11FD2" w:rsidP="00D5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8F" w:rsidRDefault="00D57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6,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B"/>
    <w:rsid w:val="000A27D7"/>
    <w:rsid w:val="000C446A"/>
    <w:rsid w:val="001C4823"/>
    <w:rsid w:val="001E5525"/>
    <w:rsid w:val="00341AA1"/>
    <w:rsid w:val="00530CFC"/>
    <w:rsid w:val="007B4B0B"/>
    <w:rsid w:val="00815422"/>
    <w:rsid w:val="008521CA"/>
    <w:rsid w:val="008C7682"/>
    <w:rsid w:val="00925B2F"/>
    <w:rsid w:val="00956DB7"/>
    <w:rsid w:val="00A54336"/>
    <w:rsid w:val="00BD5768"/>
    <w:rsid w:val="00C835B4"/>
    <w:rsid w:val="00D57B8F"/>
    <w:rsid w:val="00F11FD2"/>
    <w:rsid w:val="00F76A6B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B8F"/>
  </w:style>
  <w:style w:type="paragraph" w:styleId="a7">
    <w:name w:val="footer"/>
    <w:basedOn w:val="a"/>
    <w:link w:val="a8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B8F"/>
  </w:style>
  <w:style w:type="paragraph" w:styleId="a7">
    <w:name w:val="footer"/>
    <w:basedOn w:val="a"/>
    <w:link w:val="a8"/>
    <w:uiPriority w:val="99"/>
    <w:unhideWhenUsed/>
    <w:rsid w:val="00D5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3</cp:revision>
  <dcterms:created xsi:type="dcterms:W3CDTF">2016-07-15T08:54:00Z</dcterms:created>
  <dcterms:modified xsi:type="dcterms:W3CDTF">2016-07-15T08:54:00Z</dcterms:modified>
</cp:coreProperties>
</file>